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951B0F" w:rsidRDefault="00951B0F" w:rsidP="00951B0F">
      <w:pPr>
        <w:widowControl w:val="0"/>
        <w:autoSpaceDE w:val="0"/>
        <w:autoSpaceDN w:val="0"/>
        <w:adjustRightInd w:val="0"/>
        <w:spacing w:after="0" w:line="240" w:lineRule="auto"/>
        <w:jc w:val="center"/>
        <w:rPr>
          <w:rFonts w:ascii="Arial" w:eastAsia="Times New Roman" w:hAnsi="Arial" w:cs="Arial"/>
          <w:b/>
          <w:sz w:val="32"/>
          <w:szCs w:val="24"/>
          <w:lang w:eastAsia="bg-BG"/>
        </w:rPr>
      </w:pPr>
      <w:r w:rsidRPr="00951B0F">
        <w:rPr>
          <w:rFonts w:ascii="Arial" w:eastAsia="Times New Roman" w:hAnsi="Arial" w:cs="Arial"/>
          <w:b/>
          <w:sz w:val="32"/>
          <w:szCs w:val="24"/>
          <w:lang w:eastAsia="bg-BG"/>
        </w:rPr>
        <w:t>ДОСТАВКА НА ШУНТОВ РЕАКТОР ЗА НУЖДИТЕ НА ЕЛЕКТРОРАЗПРЕДЕЛЕНИЕ СЕВЕР АД</w:t>
      </w: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951B0F" w:rsidRPr="00951B0F">
        <w:rPr>
          <w:rFonts w:ascii="Times New Roman" w:eastAsia="Times New Roman" w:hAnsi="Times New Roman"/>
          <w:sz w:val="24"/>
          <w:szCs w:val="24"/>
        </w:rPr>
        <w:t xml:space="preserve">Доставка на </w:t>
      </w:r>
      <w:proofErr w:type="spellStart"/>
      <w:r w:rsidR="00951B0F" w:rsidRPr="00951B0F">
        <w:rPr>
          <w:rFonts w:ascii="Times New Roman" w:eastAsia="Times New Roman" w:hAnsi="Times New Roman"/>
          <w:sz w:val="24"/>
          <w:szCs w:val="24"/>
        </w:rPr>
        <w:t>шунтов</w:t>
      </w:r>
      <w:proofErr w:type="spellEnd"/>
      <w:r w:rsidR="00951B0F" w:rsidRPr="00951B0F">
        <w:rPr>
          <w:rFonts w:ascii="Times New Roman" w:eastAsia="Times New Roman" w:hAnsi="Times New Roman"/>
          <w:sz w:val="24"/>
          <w:szCs w:val="24"/>
        </w:rPr>
        <w:t xml:space="preserve"> реактор за нуждите на Електроразпределение Север АД</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Декларация за съответствие на изделието с техническата спецификация и стандартите, на които отговаря;</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Технически данни и характеристики на реакторите;</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Каталог на предлаганите изделия;</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Инструкция за транспорт, монтаж, експлоатация и съхранение;</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Сертификат за произход, съответствие и качество на вложените материали;</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Протоколи от типови изпитания, проведени от изпитателни лаборатории, акредитирани в съответствие с EN ISO/IEC 17025 (или еквивалент);</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Образец на заводски изпитания за изходящ контрол;</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lastRenderedPageBreak/>
        <w:t>Изпитателен протокол или декларация за електромагнитна съвместимост;</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Сертификат от акредитирана лаборатория за качеството на трансформаторното масло;</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Становище за съвместимост на използваното масло с доставяното от Възложителя при необходимост от смесване;</w:t>
      </w:r>
    </w:p>
    <w:p w:rsidR="0062131F" w:rsidRPr="0062131F" w:rsidRDefault="0062131F" w:rsidP="0062131F">
      <w:pPr>
        <w:pStyle w:val="ListParagraph"/>
        <w:numPr>
          <w:ilvl w:val="0"/>
          <w:numId w:val="14"/>
        </w:numPr>
        <w:ind w:right="284"/>
        <w:jc w:val="both"/>
        <w:rPr>
          <w:rFonts w:ascii="Times New Roman" w:hAnsi="Times New Roman" w:cs="Times New Roman"/>
          <w:lang w:eastAsia="en-US"/>
        </w:rPr>
      </w:pPr>
      <w:r w:rsidRPr="0062131F">
        <w:rPr>
          <w:rFonts w:ascii="Times New Roman" w:hAnsi="Times New Roman" w:cs="Times New Roman"/>
          <w:lang w:eastAsia="en-US"/>
        </w:rPr>
        <w:t>Гаранционна карта с условия и срок на гаранцията на изделието;</w:t>
      </w: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Pr>
          <w:sz w:val="24"/>
          <w:szCs w:val="24"/>
          <w:lang w:eastAsia="en-US"/>
        </w:rPr>
        <w:t>и</w:t>
      </w:r>
      <w:r w:rsidRPr="005652E6">
        <w:rPr>
          <w:sz w:val="24"/>
          <w:szCs w:val="24"/>
          <w:lang w:eastAsia="en-US"/>
        </w:rPr>
        <w:t>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p>
    <w:p w:rsidR="00DB4E8D" w:rsidRPr="00DB4E8D" w:rsidRDefault="00DB4E8D" w:rsidP="00DB4E8D">
      <w:pPr>
        <w:widowControl w:val="0"/>
        <w:autoSpaceDE w:val="0"/>
        <w:autoSpaceDN w:val="0"/>
        <w:adjustRightInd w:val="0"/>
        <w:jc w:val="both"/>
        <w:rPr>
          <w:rFonts w:ascii="Times New Roman" w:eastAsia="Times New Roman" w:hAnsi="Times New Roman"/>
          <w:b/>
          <w:sz w:val="24"/>
          <w:szCs w:val="24"/>
        </w:rPr>
      </w:pP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p>
    <w:p w:rsidR="00DB4E8D" w:rsidRPr="00DB4E8D" w:rsidRDefault="00DB4E8D" w:rsidP="00DB4E8D">
      <w:pPr>
        <w:widowControl w:val="0"/>
        <w:autoSpaceDE w:val="0"/>
        <w:autoSpaceDN w:val="0"/>
        <w:adjustRightInd w:val="0"/>
        <w:jc w:val="both"/>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51B0F" w:rsidRPr="00DA009B" w:rsidRDefault="00932641" w:rsidP="00951B0F">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951B0F" w:rsidRPr="00951B0F" w:rsidRDefault="00E30655"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p>
          <w:p w:rsidR="00DB4E8D" w:rsidRPr="00DB4E8D" w:rsidRDefault="00DB4E8D" w:rsidP="00DB4E8D">
            <w:pPr>
              <w:widowControl w:val="0"/>
              <w:autoSpaceDE w:val="0"/>
              <w:autoSpaceDN w:val="0"/>
              <w:adjustRightInd w:val="0"/>
              <w:jc w:val="both"/>
              <w:rPr>
                <w:rFonts w:ascii="Times New Roman" w:eastAsia="Times New Roman" w:hAnsi="Times New Roman"/>
                <w:b/>
                <w:sz w:val="24"/>
                <w:szCs w:val="24"/>
              </w:rPr>
            </w:pPr>
          </w:p>
          <w:p w:rsidR="00E30655" w:rsidRPr="00AF334B" w:rsidRDefault="00E30655" w:rsidP="00736B12">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00951B0F">
        <w:rPr>
          <w:rFonts w:ascii="Times New Roman" w:eastAsia="Times New Roman" w:hAnsi="Times New Roman"/>
          <w:sz w:val="24"/>
          <w:szCs w:val="24"/>
          <w:lang w:eastAsia="bg-BG"/>
        </w:rPr>
        <w:t>, кой</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951B0F">
        <w:rPr>
          <w:rFonts w:ascii="Times New Roman" w:eastAsia="Times New Roman" w:hAnsi="Times New Roman"/>
          <w:sz w:val="24"/>
          <w:szCs w:val="24"/>
          <w:lang w:eastAsia="bg-BG"/>
        </w:rPr>
        <w:t>е фабрично нов</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ListParagraph"/>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w:t>
      </w:r>
      <w:r w:rsidR="00951B0F">
        <w:rPr>
          <w:rFonts w:ascii="Times New Roman" w:eastAsia="Times New Roman" w:hAnsi="Times New Roman"/>
          <w:sz w:val="24"/>
          <w:szCs w:val="24"/>
          <w:lang w:eastAsia="bg-BG"/>
        </w:rPr>
        <w:t xml:space="preserve">компоненти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Декларация за съответствие на изделието с техническата спецификация и стандартите, на които отговаря;</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Технически данни и характеристики на реакторите;</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Каталог на предлаганите изделия;</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Инструкция за транспорт, монтаж, експлоатация и съхранение;</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Сертификат за произход, съответствие и качество на вложените материали;</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Протоколи от типови изпитания, проведени от изпитателни лаборатории, акредитирани в съответствие с EN ISO/IEC 17025 (или еквивалент);</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Образец на заводски изпитания за изходящ контрол;</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Изпитателен протокол или декларация за електромагнитна съвместимост;</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Сертификат от акредитирана лаборатория за качеството на трансформаторното масло;</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t>Становище за съвместимост на използваното масло с доставяното от Възложителя при необходимост от смесване;</w:t>
      </w:r>
    </w:p>
    <w:p w:rsidR="0062131F" w:rsidRPr="0062131F" w:rsidRDefault="0062131F" w:rsidP="0062131F">
      <w:pPr>
        <w:pStyle w:val="ListParagraph"/>
        <w:numPr>
          <w:ilvl w:val="0"/>
          <w:numId w:val="15"/>
        </w:numPr>
        <w:ind w:right="284"/>
        <w:jc w:val="both"/>
        <w:rPr>
          <w:rFonts w:ascii="Times New Roman" w:hAnsi="Times New Roman" w:cs="Times New Roman"/>
        </w:rPr>
      </w:pPr>
      <w:r w:rsidRPr="0062131F">
        <w:rPr>
          <w:rFonts w:ascii="Times New Roman" w:hAnsi="Times New Roman" w:cs="Times New Roman"/>
        </w:rPr>
        <w:lastRenderedPageBreak/>
        <w:t>Гаранционна карта с условия и срок на гаранцията на изделието;</w:t>
      </w: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0E7915" w:rsidRDefault="00932641" w:rsidP="00AF334B">
      <w:pPr>
        <w:autoSpaceDE w:val="0"/>
        <w:autoSpaceDN w:val="0"/>
        <w:adjustRightInd w:val="0"/>
        <w:spacing w:after="0"/>
        <w:rPr>
          <w:rFonts w:ascii="Arial" w:hAnsi="Arial" w:cs="Arial"/>
          <w:lang w:val="en-US"/>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24030C" w:rsidRPr="00AF334B" w:rsidRDefault="0024030C" w:rsidP="002F6E71">
      <w:pPr>
        <w:autoSpaceDE w:val="0"/>
        <w:autoSpaceDN w:val="0"/>
        <w:adjustRightInd w:val="0"/>
        <w:spacing w:after="0"/>
        <w:jc w:val="right"/>
        <w:rPr>
          <w:rFonts w:ascii="Arial" w:hAnsi="Arial" w:cs="Arial"/>
          <w:lang w:val="en-US"/>
        </w:rPr>
      </w:pPr>
    </w:p>
    <w:p w:rsidR="00DB4E8D" w:rsidRDefault="007F33B0" w:rsidP="00D35936">
      <w:pPr>
        <w:pStyle w:val="BodyText"/>
        <w:tabs>
          <w:tab w:val="left" w:pos="3894"/>
        </w:tabs>
        <w:jc w:val="both"/>
        <w:rPr>
          <w:lang w:val="bg-BG"/>
        </w:rPr>
      </w:pPr>
      <w:r>
        <w:tab/>
      </w:r>
      <w:r w:rsidR="002F6E71">
        <w:rPr>
          <w:lang w:val="bg-BG"/>
        </w:rPr>
        <w:tab/>
      </w:r>
      <w:r w:rsidR="002F6E71">
        <w:rPr>
          <w:lang w:val="bg-BG"/>
        </w:rPr>
        <w:tab/>
      </w:r>
      <w:r w:rsidR="002F6E71">
        <w:rPr>
          <w:lang w:val="bg-BG"/>
        </w:rPr>
        <w:tab/>
      </w:r>
      <w:r w:rsidR="002F6E71">
        <w:rPr>
          <w:lang w:val="bg-BG"/>
        </w:rPr>
        <w:tab/>
      </w:r>
      <w:r w:rsidR="002F6E71">
        <w:rPr>
          <w:lang w:val="bg-BG"/>
        </w:rPr>
        <w:tab/>
      </w: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62131F" w:rsidRDefault="0062131F" w:rsidP="00D35936">
      <w:pPr>
        <w:pStyle w:val="BodyText"/>
        <w:tabs>
          <w:tab w:val="left" w:pos="3894"/>
        </w:tabs>
        <w:jc w:val="both"/>
        <w:rPr>
          <w:lang w:val="bg-BG"/>
        </w:rPr>
      </w:pPr>
    </w:p>
    <w:p w:rsidR="00DB4E8D" w:rsidRDefault="00DB4E8D" w:rsidP="00D35936">
      <w:pPr>
        <w:pStyle w:val="BodyText"/>
        <w:tabs>
          <w:tab w:val="left" w:pos="3894"/>
        </w:tabs>
        <w:jc w:val="both"/>
        <w:rPr>
          <w:lang w:val="bg-BG"/>
        </w:rPr>
      </w:pPr>
    </w:p>
    <w:p w:rsidR="00932641" w:rsidRPr="003D67BE" w:rsidRDefault="00DB4E8D" w:rsidP="00D35936">
      <w:pPr>
        <w:pStyle w:val="BodyText"/>
        <w:tabs>
          <w:tab w:val="left" w:pos="3894"/>
        </w:tabs>
        <w:jc w:val="both"/>
        <w:rPr>
          <w:b/>
          <w:i/>
          <w:lang w:eastAsia="bg-BG"/>
        </w:rPr>
      </w:pPr>
      <w:r>
        <w:rPr>
          <w:lang w:val="bg-BG"/>
        </w:rPr>
        <w:lastRenderedPageBreak/>
        <w:tab/>
      </w:r>
      <w:r>
        <w:rPr>
          <w:lang w:val="bg-BG"/>
        </w:rPr>
        <w:tab/>
      </w:r>
      <w:r>
        <w:rPr>
          <w:lang w:val="bg-BG"/>
        </w:rPr>
        <w:tab/>
      </w:r>
      <w:r>
        <w:rPr>
          <w:lang w:val="bg-BG"/>
        </w:rPr>
        <w:tab/>
      </w:r>
      <w:r>
        <w:rPr>
          <w:lang w:val="bg-BG"/>
        </w:rPr>
        <w:tab/>
      </w:r>
      <w:r>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951B0F" w:rsidRPr="00951B0F">
        <w:rPr>
          <w:rFonts w:ascii="Times New Roman" w:eastAsia="Times New Roman" w:hAnsi="Times New Roman"/>
          <w:b/>
          <w:sz w:val="24"/>
          <w:szCs w:val="24"/>
        </w:rPr>
        <w:t xml:space="preserve">Доставка на </w:t>
      </w:r>
      <w:proofErr w:type="spellStart"/>
      <w:r w:rsidR="00951B0F" w:rsidRPr="00951B0F">
        <w:rPr>
          <w:rFonts w:ascii="Times New Roman" w:eastAsia="Times New Roman" w:hAnsi="Times New Roman"/>
          <w:b/>
          <w:sz w:val="24"/>
          <w:szCs w:val="24"/>
        </w:rPr>
        <w:t>шунтов</w:t>
      </w:r>
      <w:proofErr w:type="spellEnd"/>
      <w:r w:rsidR="00951B0F" w:rsidRPr="00951B0F">
        <w:rPr>
          <w:rFonts w:ascii="Times New Roman" w:eastAsia="Times New Roman" w:hAnsi="Times New Roman"/>
          <w:b/>
          <w:sz w:val="24"/>
          <w:szCs w:val="24"/>
        </w:rPr>
        <w:t xml:space="preserve"> реактор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862"/>
        <w:gridCol w:w="890"/>
        <w:gridCol w:w="1374"/>
        <w:gridCol w:w="1134"/>
        <w:gridCol w:w="1036"/>
      </w:tblGrid>
      <w:tr w:rsidR="00932641" w:rsidRPr="00BB2F59" w:rsidTr="00DB4E8D">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862"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890"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DB4E8D" w:rsidRPr="00BB2F59" w:rsidTr="00DB4E8D">
        <w:trPr>
          <w:trHeight w:val="340"/>
          <w:jc w:val="center"/>
        </w:trPr>
        <w:tc>
          <w:tcPr>
            <w:tcW w:w="425" w:type="dxa"/>
            <w:vAlign w:val="center"/>
          </w:tcPr>
          <w:p w:rsidR="00DB4E8D" w:rsidRPr="0048448D" w:rsidRDefault="00DB4E8D" w:rsidP="00DB4E8D">
            <w:pPr>
              <w:jc w:val="center"/>
              <w:rPr>
                <w:rFonts w:ascii="Arial" w:hAnsi="Arial" w:cs="Arial"/>
              </w:rPr>
            </w:pPr>
            <w:r w:rsidRPr="0048448D">
              <w:rPr>
                <w:rFonts w:ascii="Arial" w:hAnsi="Arial" w:cs="Arial"/>
              </w:rPr>
              <w:t>1</w:t>
            </w:r>
          </w:p>
        </w:tc>
        <w:tc>
          <w:tcPr>
            <w:tcW w:w="4862" w:type="dxa"/>
            <w:vAlign w:val="center"/>
          </w:tcPr>
          <w:p w:rsidR="00DB4E8D" w:rsidRPr="00C101F0" w:rsidRDefault="00951B0F" w:rsidP="00DB4E8D">
            <w:pPr>
              <w:rPr>
                <w:rFonts w:ascii="Arial" w:hAnsi="Arial" w:cs="Arial"/>
              </w:rPr>
            </w:pPr>
            <w:proofErr w:type="spellStart"/>
            <w:r>
              <w:rPr>
                <w:rFonts w:ascii="Arial" w:hAnsi="Arial" w:cs="Arial"/>
              </w:rPr>
              <w:t>Шунтов</w:t>
            </w:r>
            <w:proofErr w:type="spellEnd"/>
            <w:r>
              <w:rPr>
                <w:rFonts w:ascii="Arial" w:hAnsi="Arial" w:cs="Arial"/>
              </w:rPr>
              <w:t xml:space="preserve"> Реактор</w:t>
            </w:r>
          </w:p>
        </w:tc>
        <w:tc>
          <w:tcPr>
            <w:tcW w:w="890" w:type="dxa"/>
            <w:vAlign w:val="center"/>
          </w:tcPr>
          <w:p w:rsidR="00DB4E8D" w:rsidRPr="0048448D" w:rsidRDefault="00DB4E8D" w:rsidP="00DB4E8D">
            <w:pPr>
              <w:jc w:val="center"/>
              <w:rPr>
                <w:rFonts w:ascii="Arial" w:hAnsi="Arial" w:cs="Arial"/>
              </w:rPr>
            </w:pPr>
            <w:r>
              <w:rPr>
                <w:rFonts w:ascii="Arial" w:hAnsi="Arial" w:cs="Arial"/>
              </w:rPr>
              <w:t>брой</w:t>
            </w:r>
          </w:p>
        </w:tc>
        <w:tc>
          <w:tcPr>
            <w:tcW w:w="1374" w:type="dxa"/>
            <w:vAlign w:val="center"/>
          </w:tcPr>
          <w:p w:rsidR="00DB4E8D" w:rsidRPr="00DE1278" w:rsidRDefault="00951B0F" w:rsidP="00DB4E8D">
            <w:pPr>
              <w:jc w:val="center"/>
              <w:rPr>
                <w:rFonts w:ascii="Arial" w:hAnsi="Arial" w:cs="Arial"/>
              </w:rPr>
            </w:pPr>
            <w:r>
              <w:rPr>
                <w:rFonts w:ascii="Arial" w:hAnsi="Arial" w:cs="Arial"/>
              </w:rPr>
              <w:t>1</w:t>
            </w:r>
          </w:p>
        </w:tc>
        <w:tc>
          <w:tcPr>
            <w:tcW w:w="1134" w:type="dxa"/>
            <w:vAlign w:val="center"/>
          </w:tcPr>
          <w:p w:rsidR="00DB4E8D" w:rsidRPr="004758E4" w:rsidRDefault="00DB4E8D" w:rsidP="00DB4E8D">
            <w:pPr>
              <w:jc w:val="center"/>
              <w:rPr>
                <w:rFonts w:ascii="Times New Roman" w:hAnsi="Times New Roman"/>
              </w:rPr>
            </w:pPr>
          </w:p>
        </w:tc>
        <w:tc>
          <w:tcPr>
            <w:tcW w:w="1036" w:type="dxa"/>
            <w:shd w:val="clear" w:color="auto" w:fill="auto"/>
            <w:vAlign w:val="center"/>
          </w:tcPr>
          <w:p w:rsidR="00DB4E8D" w:rsidRPr="004758E4" w:rsidRDefault="00DB4E8D" w:rsidP="00DB4E8D">
            <w:pPr>
              <w:jc w:val="center"/>
              <w:rPr>
                <w:rFonts w:ascii="Times New Roman" w:hAnsi="Times New Roman"/>
              </w:rPr>
            </w:pPr>
          </w:p>
        </w:tc>
      </w:tr>
      <w:tr w:rsidR="00B53E96" w:rsidRPr="00BB2F59" w:rsidTr="00971657">
        <w:trPr>
          <w:trHeight w:val="274"/>
          <w:jc w:val="center"/>
        </w:trPr>
        <w:tc>
          <w:tcPr>
            <w:tcW w:w="8685"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p w:rsidR="001F159C" w:rsidRDefault="001F159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3D67BE" w:rsidRDefault="00662023"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662023"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DD" w:rsidRDefault="00BB34DD">
      <w:pPr>
        <w:spacing w:after="0" w:line="240" w:lineRule="auto"/>
      </w:pPr>
      <w:r>
        <w:separator/>
      </w:r>
    </w:p>
  </w:endnote>
  <w:endnote w:type="continuationSeparator" w:id="0">
    <w:p w:rsidR="00BB34DD" w:rsidRDefault="00BB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Pr="00BC1D1A" w:rsidRDefault="00BB34DD"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B051EE">
      <w:rPr>
        <w:rStyle w:val="PageNumber"/>
        <w:rFonts w:ascii="Times New Roman" w:hAnsi="Times New Roman" w:cs="Times New Roman"/>
        <w:noProof/>
      </w:rPr>
      <w:t>14</w:t>
    </w:r>
    <w:r w:rsidRPr="00BC1D1A">
      <w:rPr>
        <w:rStyle w:val="PageNumber"/>
        <w:rFonts w:ascii="Times New Roman" w:hAnsi="Times New Roman" w:cs="Times New Roman"/>
      </w:rPr>
      <w:fldChar w:fldCharType="end"/>
    </w:r>
  </w:p>
  <w:p w:rsidR="00BB34DD" w:rsidRDefault="00BB34DD">
    <w:pPr>
      <w:pStyle w:val="Footer"/>
    </w:pPr>
  </w:p>
  <w:p w:rsidR="00BB34DD" w:rsidRDefault="00BB3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DD" w:rsidRDefault="00BB34DD">
      <w:pPr>
        <w:spacing w:after="0" w:line="240" w:lineRule="auto"/>
      </w:pPr>
      <w:r>
        <w:separator/>
      </w:r>
    </w:p>
  </w:footnote>
  <w:footnote w:type="continuationSeparator" w:id="0">
    <w:p w:rsidR="00BB34DD" w:rsidRDefault="00BB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p>
  <w:p w:rsidR="00BB34DD" w:rsidRDefault="00BB34DD"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0">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2">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2"/>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90A9E"/>
    <w:rsid w:val="00391230"/>
    <w:rsid w:val="003B6F68"/>
    <w:rsid w:val="003D67BE"/>
    <w:rsid w:val="003E7D34"/>
    <w:rsid w:val="00416AE1"/>
    <w:rsid w:val="00437EF8"/>
    <w:rsid w:val="004436A0"/>
    <w:rsid w:val="004758E4"/>
    <w:rsid w:val="004905D9"/>
    <w:rsid w:val="00496229"/>
    <w:rsid w:val="004C03AE"/>
    <w:rsid w:val="004C6A24"/>
    <w:rsid w:val="004D798D"/>
    <w:rsid w:val="004F2EE3"/>
    <w:rsid w:val="00557C58"/>
    <w:rsid w:val="005652E6"/>
    <w:rsid w:val="0057700F"/>
    <w:rsid w:val="00592060"/>
    <w:rsid w:val="005A798B"/>
    <w:rsid w:val="0062131F"/>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53E96"/>
    <w:rsid w:val="00B907B5"/>
    <w:rsid w:val="00B97E6C"/>
    <w:rsid w:val="00BB2F59"/>
    <w:rsid w:val="00BB34DD"/>
    <w:rsid w:val="00BF25E7"/>
    <w:rsid w:val="00C16366"/>
    <w:rsid w:val="00C23CA1"/>
    <w:rsid w:val="00C36DC5"/>
    <w:rsid w:val="00C44F0C"/>
    <w:rsid w:val="00C64FF0"/>
    <w:rsid w:val="00C932E4"/>
    <w:rsid w:val="00CC38D2"/>
    <w:rsid w:val="00CF0195"/>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83D4-CA92-42DE-8267-E252CEE4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A3B2C2B8</Template>
  <TotalTime>6</TotalTime>
  <Pages>14</Pages>
  <Words>3965</Words>
  <Characters>22603</Characters>
  <Application>Microsoft Office Word</Application>
  <DocSecurity>0</DocSecurity>
  <Lines>188</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5</cp:revision>
  <dcterms:created xsi:type="dcterms:W3CDTF">2019-06-11T14:04:00Z</dcterms:created>
  <dcterms:modified xsi:type="dcterms:W3CDTF">2019-06-19T06:34:00Z</dcterms:modified>
</cp:coreProperties>
</file>